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2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2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00F70338">
      <w:pPr>
        <w:pStyle w:val="892"/>
        <w:pBdr/>
        <w:spacing w:after="0" w:afterAutospacing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</w:p>
    <w:p w14:paraId="5B6318C1">
      <w:pPr>
        <w:pStyle w:val="892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0F7156A0">
      <w:pPr>
        <w:pStyle w:val="892"/>
        <w:pBdr/>
        <w:spacing w:after="0" w:afterAutospacing="0" w:line="240" w:lineRule="auto"/>
        <w:ind/>
        <w:rPr>
          <w:rFonts w:ascii="Times New Roman" w:hAnsi="Times New Roman" w:cs="Times New Roman"/>
          <w:color w:val="auto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10 липня 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</w:rPr>
        <w:t xml:space="preserve">202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 року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м.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 Берестин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  <w:lang w:val="en-US"/>
        </w:rPr>
        <w:t xml:space="preserve">448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</w:p>
    <w:p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взяття на соціальний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tabs>
          <w:tab w:val="left" w:leader="none" w:pos="4059"/>
        </w:tabs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квартирний облік</w:t>
      </w:r>
      <w:r>
        <w:rPr>
          <w:sz w:val="28"/>
          <w:szCs w:val="28"/>
          <w:lang w:val="uk-UA"/>
        </w:rPr>
        <w:t xml:space="preserve"> внутрішньо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переміщен</w:t>
      </w:r>
      <w:r>
        <w:rPr>
          <w:sz w:val="28"/>
          <w:szCs w:val="28"/>
          <w:lang w:val="uk-UA"/>
        </w:rPr>
        <w:t xml:space="preserve">у особу </w:t>
      </w:r>
      <w:r>
        <w:rPr>
          <w:color w:val="000000" w:themeColor="text1"/>
          <w:sz w:val="28"/>
          <w:szCs w:val="28"/>
          <w:lang w:val="uk-UA"/>
        </w:rPr>
        <w:t xml:space="preserve">особу 12</w:t>
      </w:r>
      <w:r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jc w:val="both"/>
        <w:rPr>
          <w:spacing w:val="-7"/>
          <w:sz w:val="28"/>
          <w:szCs w:val="28"/>
          <w:lang w:val="uk-UA"/>
        </w:rPr>
      </w:pPr>
      <w:r>
        <w:rPr>
          <w:color w:val="000000"/>
          <w:spacing w:val="-7"/>
          <w:sz w:val="28"/>
          <w:szCs w:val="28"/>
          <w:lang w:val="uk-UA"/>
        </w:rPr>
        <w:t xml:space="preserve">          Відповідно до підпункту 2 пункту «а» статті 30 Закону України «Про місцеве самоврядування в Україні»,  статті </w:t>
      </w:r>
      <w:r>
        <w:rPr>
          <w:color w:val="000000"/>
          <w:spacing w:val="-7"/>
          <w:sz w:val="28"/>
          <w:szCs w:val="28"/>
          <w:lang w:val="uk-UA"/>
        </w:rPr>
        <w:t xml:space="preserve">2</w:t>
      </w:r>
      <w:r>
        <w:rPr>
          <w:spacing w:val="-7"/>
          <w:sz w:val="28"/>
          <w:szCs w:val="28"/>
          <w:lang w:val="uk-UA"/>
        </w:rPr>
        <w:t xml:space="preserve">,  </w:t>
      </w:r>
      <w:r>
        <w:rPr>
          <w:color w:val="auto"/>
          <w:sz w:val="28"/>
          <w:szCs w:val="28"/>
          <w:lang w:val="uk-UA"/>
        </w:rPr>
        <w:t xml:space="preserve">пункту 19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частини першої статті 12 Закону України </w:t>
      </w:r>
      <w:r>
        <w:rPr>
          <w:sz w:val="28"/>
          <w:szCs w:val="28"/>
          <w:lang w:val="uk-UA"/>
        </w:rPr>
        <w:t xml:space="preserve">«Про житловий фонд соціального при</w:t>
      </w:r>
      <w:r>
        <w:rPr>
          <w:sz w:val="28"/>
          <w:szCs w:val="28"/>
          <w:lang w:val="uk-UA"/>
        </w:rPr>
        <w:t xml:space="preserve">значення»</w:t>
      </w:r>
      <w:r>
        <w:rPr>
          <w:spacing w:val="-7"/>
          <w:sz w:val="28"/>
          <w:szCs w:val="28"/>
          <w:lang w:val="uk-UA"/>
        </w:rPr>
        <w:t xml:space="preserve">, статтею 11 Закону України «Про забезпечення прав і свобод внутрішньо переміщених осіб»,  </w:t>
      </w:r>
      <w:r>
        <w:rPr>
          <w:sz w:val="28"/>
          <w:szCs w:val="28"/>
          <w:lang w:val="uk-UA"/>
        </w:rPr>
        <w:t xml:space="preserve">п</w:t>
      </w:r>
      <w:r>
        <w:rPr>
          <w:sz w:val="28"/>
          <w:szCs w:val="28"/>
          <w:lang w:val="uk-UA"/>
        </w:rPr>
        <w:t xml:space="preserve">остановою Кабінету Міністрів України від 23.07.2008 № 682 «Деякі питання реалізації Закону України «Про житловий фонд соціального призначення», </w:t>
      </w:r>
      <w:r>
        <w:rPr>
          <w:sz w:val="28"/>
          <w:szCs w:val="28"/>
          <w:lang w:val="uk-UA"/>
        </w:rPr>
        <w:t xml:space="preserve">Порядку формування фондів житла, призначеного для тимчасового проживання, обліку та надання такого житла для тимчасового проживання </w:t>
      </w:r>
      <w:r>
        <w:rPr>
          <w:sz w:val="28"/>
          <w:szCs w:val="28"/>
          <w:lang w:val="uk-UA"/>
        </w:rPr>
        <w:t xml:space="preserve">внутрішньо переміщених осіб, затвердженого постановою Кабінету Міністрів України від 29.04.2022 №495 «Деякі заходи </w:t>
      </w:r>
      <w:r>
        <w:rPr>
          <w:sz w:val="28"/>
          <w:szCs w:val="28"/>
          <w:lang w:val="uk-UA"/>
        </w:rPr>
        <w:t xml:space="preserve">з формування фондів житла, призначеного для тимчасового проживання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внутрішньо переміщених осіб</w:t>
      </w:r>
      <w:r>
        <w:rPr>
          <w:spacing w:val="-7"/>
          <w:sz w:val="28"/>
          <w:szCs w:val="28"/>
          <w:lang w:val="uk-UA"/>
        </w:rPr>
        <w:t xml:space="preserve">», </w:t>
      </w:r>
      <w:r>
        <w:rPr>
          <w:spacing w:val="-7"/>
          <w:sz w:val="28"/>
          <w:szCs w:val="28"/>
          <w:lang w:val="uk-UA"/>
        </w:rPr>
        <w:t xml:space="preserve">розглянувши заяву від </w:t>
      </w:r>
      <w:r>
        <w:rPr>
          <w:spacing w:val="-7"/>
          <w:sz w:val="28"/>
          <w:szCs w:val="28"/>
          <w:lang w:val="uk-UA"/>
        </w:rPr>
        <w:t xml:space="preserve">22</w:t>
      </w:r>
      <w:r>
        <w:rPr>
          <w:spacing w:val="-7"/>
          <w:sz w:val="28"/>
          <w:szCs w:val="28"/>
          <w:lang w:val="uk-UA"/>
        </w:rPr>
        <w:t xml:space="preserve">.06.</w:t>
      </w:r>
      <w:r>
        <w:rPr>
          <w:spacing w:val="-7"/>
          <w:sz w:val="28"/>
          <w:szCs w:val="28"/>
          <w:lang w:val="uk-UA"/>
        </w:rPr>
        <w:t xml:space="preserve">2026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№</w:t>
      </w:r>
      <w:r>
        <w:rPr>
          <w:spacing w:val="-7"/>
          <w:sz w:val="28"/>
          <w:szCs w:val="28"/>
          <w:lang w:val="uk-UA"/>
        </w:rPr>
        <w:t xml:space="preserve">В-1001</w:t>
      </w:r>
      <w:r>
        <w:rPr>
          <w:spacing w:val="-7"/>
          <w:sz w:val="28"/>
          <w:szCs w:val="28"/>
          <w:lang w:val="uk-UA"/>
        </w:rPr>
        <w:t xml:space="preserve">/02-</w:t>
      </w:r>
      <w:r>
        <w:rPr>
          <w:spacing w:val="-7"/>
          <w:sz w:val="28"/>
          <w:szCs w:val="28"/>
          <w:lang w:val="uk-UA"/>
        </w:rPr>
        <w:t xml:space="preserve">17 </w:t>
      </w:r>
      <w:r>
        <w:rPr>
          <w:color w:val="000000" w:themeColor="text1"/>
          <w:sz w:val="28"/>
          <w:szCs w:val="28"/>
          <w:lang w:val="uk-UA"/>
        </w:rPr>
        <w:t xml:space="preserve">особи 12</w:t>
      </w:r>
      <w:r/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щодо взяття </w:t>
      </w:r>
      <w:r>
        <w:rPr>
          <w:spacing w:val="-7"/>
          <w:sz w:val="28"/>
          <w:szCs w:val="28"/>
          <w:lang w:val="uk-UA"/>
        </w:rPr>
        <w:t xml:space="preserve">її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на соціальний квартирний облік та надані матеріали, </w:t>
      </w:r>
      <w:r>
        <w:rPr>
          <w:bCs/>
          <w:sz w:val="28"/>
          <w:szCs w:val="28"/>
          <w:lang w:val="uk-UA"/>
        </w:rPr>
        <w:t xml:space="preserve">враховуючи протокольне рішення н</w:t>
      </w:r>
      <w:r>
        <w:rPr>
          <w:sz w:val="28"/>
          <w:szCs w:val="28"/>
          <w:lang w:val="uk-UA"/>
        </w:rPr>
        <w:t xml:space="preserve">аглядової ради </w:t>
      </w:r>
      <w:r>
        <w:rPr>
          <w:bCs/>
          <w:sz w:val="28"/>
          <w:szCs w:val="28"/>
          <w:lang w:val="uk-UA"/>
        </w:rPr>
        <w:t xml:space="preserve">у сфері розподілу житла з </w:t>
      </w:r>
      <w:r>
        <w:rPr>
          <w:sz w:val="28"/>
          <w:szCs w:val="28"/>
          <w:lang w:val="uk-UA"/>
        </w:rPr>
        <w:t xml:space="preserve">фонду житла для тимчасового проживання </w:t>
      </w:r>
      <w:r>
        <w:rPr>
          <w:sz w:val="28"/>
          <w:szCs w:val="28"/>
          <w:lang w:val="uk-UA"/>
        </w:rPr>
        <w:t xml:space="preserve">від</w:t>
      </w:r>
      <w:r>
        <w:rPr>
          <w:spacing w:val="-7"/>
          <w:sz w:val="28"/>
          <w:szCs w:val="28"/>
          <w:lang w:val="uk-UA"/>
        </w:rPr>
        <w:t xml:space="preserve"> 07</w:t>
      </w:r>
      <w:r>
        <w:rPr>
          <w:color w:val="auto"/>
          <w:spacing w:val="-7"/>
          <w:sz w:val="28"/>
          <w:szCs w:val="28"/>
          <w:lang w:val="uk-UA"/>
        </w:rPr>
        <w:t xml:space="preserve">.</w:t>
      </w:r>
      <w:r>
        <w:rPr>
          <w:color w:val="auto"/>
          <w:spacing w:val="-7"/>
          <w:sz w:val="28"/>
          <w:szCs w:val="28"/>
          <w:lang w:val="uk-UA"/>
        </w:rPr>
        <w:t xml:space="preserve">07</w:t>
      </w:r>
      <w:r>
        <w:rPr>
          <w:color w:val="auto"/>
          <w:spacing w:val="-7"/>
          <w:sz w:val="28"/>
          <w:szCs w:val="28"/>
          <w:lang w:val="uk-UA"/>
        </w:rPr>
        <w:t xml:space="preserve">.</w:t>
      </w:r>
      <w:r>
        <w:rPr>
          <w:color w:val="auto"/>
          <w:spacing w:val="-7"/>
          <w:sz w:val="28"/>
          <w:szCs w:val="28"/>
          <w:lang w:val="uk-UA"/>
        </w:rPr>
        <w:t xml:space="preserve">2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026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,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виконавчий</w:t>
      </w:r>
      <w:r>
        <w:rPr>
          <w:sz w:val="28"/>
          <w:szCs w:val="28"/>
          <w:lang w:val="uk-UA"/>
        </w:rPr>
        <w:t xml:space="preserve">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pacing w:val="-7"/>
          <w:sz w:val="28"/>
          <w:szCs w:val="28"/>
          <w:lang w:val="uk-UA"/>
        </w:rPr>
      </w:r>
      <w:r>
        <w:rPr>
          <w:spacing w:val="-7"/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</w:p>
    <w:p>
      <w:pPr>
        <w:pStyle w:val="900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/>
        <w:ind w:firstLine="720"/>
        <w:jc w:val="both"/>
        <w:rPr>
          <w:b w:val="0"/>
          <w:bCs w:val="0"/>
          <w:color w:val="000000"/>
          <w:spacing w:val="-7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1. Взяти на квартирний облік при виконавчому комітеті </w:t>
      </w:r>
      <w:r>
        <w:rPr>
          <w:b w:val="0"/>
          <w:sz w:val="28"/>
          <w:szCs w:val="28"/>
          <w:lang w:val="uk-UA"/>
        </w:rPr>
        <w:t xml:space="preserve">Берестинської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 міської ради </w:t>
      </w:r>
      <w:r>
        <w:rPr>
          <w:b w:val="0"/>
          <w:bCs w:val="0"/>
          <w:color w:val="000000" w:themeColor="text1"/>
          <w:sz w:val="28"/>
          <w:szCs w:val="28"/>
          <w:lang w:val="uk-UA"/>
        </w:rPr>
        <w:t xml:space="preserve">особу 12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  <w:t xml:space="preserve">,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  <w:t xml:space="preserve">хххх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  <w:t xml:space="preserve">року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народження, </w:t>
      </w:r>
      <w:r>
        <w:rPr>
          <w:b w:val="0"/>
          <w:sz w:val="28"/>
          <w:szCs w:val="28"/>
          <w:lang w:val="uk-UA"/>
        </w:rPr>
        <w:t xml:space="preserve">внутрішньо переміщену особу, що зареєстрована в Єдиній інформаційній базі даних про внутрішньо переміщених осіб</w:t>
      </w:r>
      <w:r>
        <w:rPr>
          <w:b w:val="0"/>
          <w:sz w:val="28"/>
          <w:szCs w:val="28"/>
          <w:lang w:val="uk-UA"/>
        </w:rPr>
        <w:t xml:space="preserve">,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зі складом сім’ї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одна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особа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(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вона)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, як таку, що потребує соціального захисту. </w:t>
      </w:r>
      <w:r>
        <w:rPr>
          <w:b w:val="0"/>
          <w:spacing w:val="-7"/>
          <w:sz w:val="28"/>
          <w:szCs w:val="28"/>
          <w:lang w:val="uk-UA"/>
        </w:rPr>
        <w:t xml:space="preserve"> 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</w:r>
    </w:p>
    <w:p>
      <w:pPr>
        <w:pStyle w:val="899"/>
        <w:pBdr/>
        <w:spacing/>
        <w:ind w:firstLine="720"/>
        <w:jc w:val="both"/>
        <w:rPr>
          <w:b w:val="0"/>
          <w:color w:val="auto"/>
          <w:sz w:val="28"/>
          <w:szCs w:val="28"/>
        </w:rPr>
      </w:pPr>
      <w:r>
        <w:rPr>
          <w:b w:val="0"/>
          <w:sz w:val="28"/>
          <w:szCs w:val="28"/>
          <w:lang w:val="uk-UA"/>
        </w:rPr>
        <w:t xml:space="preserve">2. Включити </w:t>
      </w:r>
      <w:r>
        <w:rPr>
          <w:b w:val="0"/>
          <w:bCs w:val="0"/>
          <w:color w:val="000000" w:themeColor="text1"/>
          <w:sz w:val="28"/>
          <w:szCs w:val="28"/>
          <w:lang w:val="uk-UA"/>
        </w:rPr>
        <w:t xml:space="preserve">о</w:t>
      </w:r>
      <w:r>
        <w:rPr>
          <w:b w:val="0"/>
          <w:bCs w:val="0"/>
          <w:color w:val="000000" w:themeColor="text1"/>
          <w:sz w:val="28"/>
          <w:szCs w:val="28"/>
          <w:lang w:val="uk-UA"/>
        </w:rPr>
        <w:t xml:space="preserve">собу 12</w:t>
      </w:r>
      <w:r>
        <w:rPr>
          <w:b w:val="0"/>
          <w:bCs w:val="0"/>
          <w:spacing w:val="-7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до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списку громадян, що користуються </w:t>
      </w:r>
      <w:r>
        <w:rPr>
          <w:b w:val="0"/>
          <w:color w:val="auto"/>
          <w:sz w:val="28"/>
          <w:szCs w:val="28"/>
          <w:lang w:val="uk-UA"/>
        </w:rPr>
        <w:t xml:space="preserve">першочерговим </w:t>
      </w:r>
      <w:r>
        <w:rPr>
          <w:b w:val="0"/>
          <w:color w:val="auto"/>
          <w:sz w:val="28"/>
          <w:szCs w:val="28"/>
          <w:lang w:val="uk-UA"/>
        </w:rPr>
        <w:t xml:space="preserve">правом на отримання соціального житла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b w:val="0"/>
          <w:color w:val="auto"/>
          <w:sz w:val="28"/>
          <w:szCs w:val="28"/>
          <w:lang w:val="uk-UA"/>
        </w:rPr>
        <w:t xml:space="preserve">за №</w:t>
      </w:r>
      <w:r>
        <w:rPr>
          <w:b w:val="0"/>
          <w:color w:val="auto"/>
          <w:sz w:val="28"/>
          <w:szCs w:val="28"/>
          <w:lang w:val="uk-UA"/>
        </w:rPr>
        <w:t xml:space="preserve"> </w:t>
      </w:r>
      <w:r>
        <w:rPr>
          <w:b w:val="0"/>
          <w:color w:val="auto"/>
          <w:sz w:val="28"/>
          <w:szCs w:val="28"/>
          <w:lang w:val="uk-UA"/>
        </w:rPr>
        <w:t xml:space="preserve">31</w:t>
      </w:r>
      <w:r>
        <w:rPr>
          <w:b w:val="0"/>
          <w:color w:val="auto"/>
          <w:sz w:val="28"/>
          <w:szCs w:val="28"/>
          <w:lang w:val="uk-UA"/>
        </w:rPr>
        <w:t xml:space="preserve">.</w:t>
      </w:r>
      <w:r>
        <w:rPr>
          <w:b w:val="0"/>
          <w:color w:val="auto"/>
          <w:sz w:val="28"/>
          <w:szCs w:val="28"/>
          <w:lang w:val="uk-UA"/>
        </w:rPr>
        <w:t xml:space="preserve"> </w:t>
      </w:r>
      <w:r>
        <w:rPr>
          <w:b w:val="0"/>
          <w:color w:val="auto"/>
          <w:sz w:val="28"/>
          <w:szCs w:val="28"/>
        </w:rPr>
      </w:r>
      <w:r>
        <w:rPr>
          <w:b w:val="0"/>
          <w:color w:val="auto"/>
          <w:sz w:val="28"/>
          <w:szCs w:val="28"/>
        </w:rPr>
      </w:r>
    </w:p>
    <w:p>
      <w:pPr>
        <w:pStyle w:val="892"/>
        <w:pBdr/>
        <w:spacing/>
        <w:ind w:right="-2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  <w:lang w:val="uk-UA"/>
        </w:rPr>
        <w:t xml:space="preserve">Відповідальному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</w:rPr>
        <w:t xml:space="preserve">організаці</w:t>
      </w:r>
      <w:r>
        <w:rPr>
          <w:sz w:val="28"/>
          <w:szCs w:val="28"/>
          <w:lang w:val="uk-UA"/>
        </w:rPr>
        <w:t xml:space="preserve">ю</w:t>
      </w:r>
      <w:r>
        <w:rPr>
          <w:sz w:val="28"/>
          <w:szCs w:val="28"/>
        </w:rPr>
        <w:t xml:space="preserve"> обліку громадян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внести </w:t>
      </w:r>
      <w:r>
        <w:rPr>
          <w:sz w:val="28"/>
          <w:szCs w:val="28"/>
          <w:lang w:val="uk-UA"/>
        </w:rPr>
        <w:t xml:space="preserve">відповідні </w:t>
      </w:r>
      <w:r>
        <w:rPr>
          <w:sz w:val="28"/>
          <w:szCs w:val="28"/>
          <w:lang w:val="uk-UA"/>
        </w:rPr>
        <w:t xml:space="preserve">зміни в</w:t>
      </w:r>
      <w:r>
        <w:rPr>
          <w:sz w:val="28"/>
          <w:szCs w:val="28"/>
          <w:lang w:val="uk-UA"/>
        </w:rPr>
        <w:t xml:space="preserve"> документацію щодо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соціального </w:t>
      </w:r>
      <w:r>
        <w:rPr>
          <w:sz w:val="28"/>
          <w:szCs w:val="28"/>
          <w:lang w:val="uk-UA"/>
        </w:rPr>
        <w:t xml:space="preserve">квартирн</w:t>
      </w:r>
      <w:r>
        <w:rPr>
          <w:sz w:val="28"/>
          <w:szCs w:val="28"/>
          <w:lang w:val="uk-UA"/>
        </w:rPr>
        <w:t xml:space="preserve">ого </w:t>
      </w:r>
      <w:r>
        <w:rPr>
          <w:sz w:val="28"/>
          <w:szCs w:val="28"/>
          <w:lang w:val="uk-UA"/>
        </w:rPr>
        <w:t xml:space="preserve">облік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4.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color w:val="000000" w:themeColor="text1"/>
          <w:sz w:val="28"/>
          <w:szCs w:val="28"/>
          <w:lang w:val="uk-UA"/>
        </w:rPr>
        <w:t xml:space="preserve">особу 12</w:t>
      </w:r>
      <w:r/>
      <w:r>
        <w:rPr>
          <w:sz w:val="28"/>
          <w:szCs w:val="28"/>
          <w:lang w:val="uk-UA"/>
        </w:rPr>
      </w:r>
      <w:r>
        <w:rPr>
          <w:spacing w:val="-7"/>
          <w:sz w:val="28"/>
          <w:szCs w:val="28"/>
          <w:lang w:val="uk-UA"/>
        </w:rPr>
        <w:t xml:space="preserve"> у разі</w:t>
      </w:r>
      <w:r>
        <w:rPr>
          <w:spacing w:val="-7"/>
          <w:sz w:val="28"/>
          <w:szCs w:val="28"/>
          <w:lang w:val="uk-UA"/>
        </w:rPr>
        <w:t xml:space="preserve"> зміни</w:t>
      </w:r>
      <w:r>
        <w:rPr>
          <w:color w:val="000000"/>
          <w:spacing w:val="-7"/>
          <w:sz w:val="28"/>
          <w:szCs w:val="28"/>
          <w:lang w:val="uk-UA"/>
        </w:rPr>
        <w:t xml:space="preserve"> обставин, що були підставою для взяття на соціальний квартирний облік повідомити</w:t>
      </w:r>
      <w:r>
        <w:rPr>
          <w:color w:val="000000"/>
          <w:spacing w:val="-7"/>
          <w:sz w:val="28"/>
          <w:szCs w:val="28"/>
          <w:lang w:val="uk-UA"/>
        </w:rPr>
        <w:t xml:space="preserve"> міську раду протягом семи робочих днів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B48E30F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5</w:t>
      </w:r>
      <w:r>
        <w:rPr>
          <w:sz w:val="28"/>
          <w:szCs w:val="28"/>
        </w:rPr>
        <w:t xml:space="preserve">. Контроль за виконанням рішення </w:t>
      </w:r>
      <w:r>
        <w:rPr>
          <w:sz w:val="28"/>
          <w:szCs w:val="28"/>
          <w:lang w:val="uk-UA" w:eastAsia="ar-SA"/>
        </w:rPr>
        <w:t xml:space="preserve">покласти на  </w:t>
      </w:r>
      <w:r>
        <w:rPr>
          <w:sz w:val="28"/>
          <w:szCs w:val="28"/>
          <w:lang w:val="uk-UA"/>
        </w:rPr>
        <w:t xml:space="preserve">заступника міського голови з питань діяльності виконавчих органів Валерія ЖУРАВСЬКОГО.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12D56C13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9447821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7257A02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6F80A5A8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66859C1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EBDFDCE">
      <w:pPr>
        <w:pStyle w:val="892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Перший з</w:t>
      </w:r>
      <w:r>
        <w:rPr>
          <w:sz w:val="28"/>
          <w:szCs w:val="28"/>
          <w:lang w:val="uk-UA"/>
        </w:rPr>
        <w:t xml:space="preserve">аступник міського голови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46DCB05">
      <w:pPr>
        <w:pStyle w:val="892"/>
        <w:pBdr/>
        <w:tabs>
          <w:tab w:val="num" w:leader="none" w:pos="0"/>
        </w:tabs>
        <w:spacing/>
        <w:ind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63D023FF">
      <w:pPr>
        <w:pStyle w:val="892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2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1134" w:right="746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Table Grid Light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1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2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1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2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3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5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6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Heading 1"/>
    <w:basedOn w:val="892"/>
    <w:next w:val="892"/>
    <w:link w:val="84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1">
    <w:name w:val="Heading 2"/>
    <w:basedOn w:val="892"/>
    <w:next w:val="892"/>
    <w:link w:val="84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2">
    <w:name w:val="Heading 3"/>
    <w:basedOn w:val="892"/>
    <w:next w:val="892"/>
    <w:link w:val="84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92"/>
    <w:next w:val="892"/>
    <w:link w:val="84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92"/>
    <w:next w:val="892"/>
    <w:link w:val="84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92"/>
    <w:next w:val="892"/>
    <w:link w:val="84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92"/>
    <w:next w:val="892"/>
    <w:link w:val="84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92"/>
    <w:next w:val="892"/>
    <w:link w:val="84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92"/>
    <w:next w:val="892"/>
    <w:link w:val="84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 w:default="1">
    <w:name w:val="Default Paragraph Font"/>
    <w:uiPriority w:val="1"/>
    <w:semiHidden/>
    <w:unhideWhenUsed/>
    <w:pPr>
      <w:pBdr/>
      <w:spacing/>
      <w:ind/>
    </w:p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character" w:styleId="841">
    <w:name w:val="Heading 1 Char"/>
    <w:basedOn w:val="839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2">
    <w:name w:val="Heading 2 Char"/>
    <w:basedOn w:val="83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3">
    <w:name w:val="Heading 3 Char"/>
    <w:basedOn w:val="839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4">
    <w:name w:val="Heading 4 Char"/>
    <w:basedOn w:val="839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5">
    <w:name w:val="Heading 5 Char"/>
    <w:basedOn w:val="839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6">
    <w:name w:val="Heading 6 Char"/>
    <w:basedOn w:val="83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7">
    <w:name w:val="Heading 7 Char"/>
    <w:basedOn w:val="839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8">
    <w:name w:val="Heading 8 Char"/>
    <w:basedOn w:val="839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9">
    <w:name w:val="Heading 9 Char"/>
    <w:basedOn w:val="839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Title"/>
    <w:basedOn w:val="892"/>
    <w:next w:val="892"/>
    <w:link w:val="85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1">
    <w:name w:val="Title Char"/>
    <w:basedOn w:val="839"/>
    <w:link w:val="85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2">
    <w:name w:val="Subtitle"/>
    <w:basedOn w:val="892"/>
    <w:next w:val="892"/>
    <w:link w:val="85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3">
    <w:name w:val="Subtitle Char"/>
    <w:basedOn w:val="839"/>
    <w:link w:val="85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4">
    <w:name w:val="Quote"/>
    <w:basedOn w:val="892"/>
    <w:next w:val="892"/>
    <w:link w:val="85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5">
    <w:name w:val="Quote Char"/>
    <w:basedOn w:val="839"/>
    <w:link w:val="85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6">
    <w:name w:val="List Paragraph"/>
    <w:basedOn w:val="892"/>
    <w:uiPriority w:val="34"/>
    <w:qFormat/>
    <w:pPr>
      <w:pBdr/>
      <w:spacing/>
      <w:ind w:left="720"/>
      <w:contextualSpacing w:val="true"/>
    </w:pPr>
  </w:style>
  <w:style w:type="character" w:styleId="857">
    <w:name w:val="Intense Emphasis"/>
    <w:basedOn w:val="83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92"/>
    <w:next w:val="892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839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83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92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83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839"/>
    <w:uiPriority w:val="20"/>
    <w:qFormat/>
    <w:pPr>
      <w:pBdr/>
      <w:spacing/>
      <w:ind/>
    </w:pPr>
    <w:rPr>
      <w:i/>
      <w:iCs/>
    </w:rPr>
  </w:style>
  <w:style w:type="character" w:styleId="864">
    <w:name w:val="Strong"/>
    <w:basedOn w:val="839"/>
    <w:uiPriority w:val="22"/>
    <w:qFormat/>
    <w:pPr>
      <w:pBdr/>
      <w:spacing/>
      <w:ind/>
    </w:pPr>
    <w:rPr>
      <w:b/>
      <w:bCs/>
    </w:rPr>
  </w:style>
  <w:style w:type="character" w:styleId="865">
    <w:name w:val="Subtle Reference"/>
    <w:basedOn w:val="83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6">
    <w:name w:val="Book Title"/>
    <w:basedOn w:val="83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7">
    <w:name w:val="Header"/>
    <w:basedOn w:val="892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Header Char"/>
    <w:basedOn w:val="839"/>
    <w:link w:val="867"/>
    <w:uiPriority w:val="99"/>
    <w:pPr>
      <w:pBdr/>
      <w:spacing/>
      <w:ind/>
    </w:pPr>
  </w:style>
  <w:style w:type="paragraph" w:styleId="869">
    <w:name w:val="Footer"/>
    <w:basedOn w:val="892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Footer Char"/>
    <w:basedOn w:val="839"/>
    <w:link w:val="869"/>
    <w:uiPriority w:val="99"/>
    <w:pPr>
      <w:pBdr/>
      <w:spacing/>
      <w:ind/>
    </w:pPr>
  </w:style>
  <w:style w:type="paragraph" w:styleId="871">
    <w:name w:val="Caption"/>
    <w:basedOn w:val="892"/>
    <w:next w:val="89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2">
    <w:name w:val="footnote text"/>
    <w:basedOn w:val="892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Footnote Text Char"/>
    <w:basedOn w:val="839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foot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paragraph" w:styleId="875">
    <w:name w:val="endnote text"/>
    <w:basedOn w:val="892"/>
    <w:link w:val="87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6">
    <w:name w:val="Endnote Text Char"/>
    <w:basedOn w:val="839"/>
    <w:link w:val="875"/>
    <w:uiPriority w:val="99"/>
    <w:semiHidden/>
    <w:pPr>
      <w:pBdr/>
      <w:spacing/>
      <w:ind/>
    </w:pPr>
    <w:rPr>
      <w:sz w:val="20"/>
      <w:szCs w:val="20"/>
    </w:rPr>
  </w:style>
  <w:style w:type="character" w:styleId="877">
    <w:name w:val="end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character" w:styleId="878">
    <w:name w:val="Hyperlink"/>
    <w:basedOn w:val="83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9">
    <w:name w:val="FollowedHyperlink"/>
    <w:basedOn w:val="83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0">
    <w:name w:val="toc 1"/>
    <w:basedOn w:val="892"/>
    <w:next w:val="892"/>
    <w:uiPriority w:val="39"/>
    <w:unhideWhenUsed/>
    <w:pPr>
      <w:pBdr/>
      <w:spacing w:after="100"/>
      <w:ind/>
    </w:pPr>
  </w:style>
  <w:style w:type="paragraph" w:styleId="881">
    <w:name w:val="toc 2"/>
    <w:basedOn w:val="892"/>
    <w:next w:val="892"/>
    <w:uiPriority w:val="39"/>
    <w:unhideWhenUsed/>
    <w:pPr>
      <w:pBdr/>
      <w:spacing w:after="100"/>
      <w:ind w:left="220"/>
    </w:pPr>
  </w:style>
  <w:style w:type="paragraph" w:styleId="882">
    <w:name w:val="toc 3"/>
    <w:basedOn w:val="892"/>
    <w:next w:val="892"/>
    <w:uiPriority w:val="39"/>
    <w:unhideWhenUsed/>
    <w:pPr>
      <w:pBdr/>
      <w:spacing w:after="100"/>
      <w:ind w:left="440"/>
    </w:pPr>
  </w:style>
  <w:style w:type="paragraph" w:styleId="883">
    <w:name w:val="toc 4"/>
    <w:basedOn w:val="892"/>
    <w:next w:val="892"/>
    <w:uiPriority w:val="39"/>
    <w:unhideWhenUsed/>
    <w:pPr>
      <w:pBdr/>
      <w:spacing w:after="100"/>
      <w:ind w:left="660"/>
    </w:pPr>
  </w:style>
  <w:style w:type="paragraph" w:styleId="884">
    <w:name w:val="toc 5"/>
    <w:basedOn w:val="892"/>
    <w:next w:val="892"/>
    <w:uiPriority w:val="39"/>
    <w:unhideWhenUsed/>
    <w:pPr>
      <w:pBdr/>
      <w:spacing w:after="100"/>
      <w:ind w:left="880"/>
    </w:pPr>
  </w:style>
  <w:style w:type="paragraph" w:styleId="885">
    <w:name w:val="toc 6"/>
    <w:basedOn w:val="892"/>
    <w:next w:val="892"/>
    <w:uiPriority w:val="39"/>
    <w:unhideWhenUsed/>
    <w:pPr>
      <w:pBdr/>
      <w:spacing w:after="100"/>
      <w:ind w:left="1100"/>
    </w:pPr>
  </w:style>
  <w:style w:type="paragraph" w:styleId="886">
    <w:name w:val="toc 7"/>
    <w:basedOn w:val="892"/>
    <w:next w:val="892"/>
    <w:uiPriority w:val="39"/>
    <w:unhideWhenUsed/>
    <w:pPr>
      <w:pBdr/>
      <w:spacing w:after="100"/>
      <w:ind w:left="1320"/>
    </w:pPr>
  </w:style>
  <w:style w:type="paragraph" w:styleId="887">
    <w:name w:val="toc 8"/>
    <w:basedOn w:val="892"/>
    <w:next w:val="892"/>
    <w:uiPriority w:val="39"/>
    <w:unhideWhenUsed/>
    <w:pPr>
      <w:pBdr/>
      <w:spacing w:after="100"/>
      <w:ind w:left="1540"/>
    </w:pPr>
  </w:style>
  <w:style w:type="paragraph" w:styleId="888">
    <w:name w:val="toc 9"/>
    <w:basedOn w:val="892"/>
    <w:next w:val="892"/>
    <w:uiPriority w:val="39"/>
    <w:unhideWhenUsed/>
    <w:pPr>
      <w:pBdr/>
      <w:spacing w:after="100"/>
      <w:ind w:left="1760"/>
    </w:pPr>
  </w:style>
  <w:style w:type="character" w:styleId="889">
    <w:name w:val="Placeholder Text"/>
    <w:basedOn w:val="839"/>
    <w:uiPriority w:val="99"/>
    <w:semiHidden/>
    <w:pPr>
      <w:pBdr/>
      <w:spacing/>
      <w:ind/>
    </w:pPr>
    <w:rPr>
      <w:color w:val="666666"/>
    </w:rPr>
  </w:style>
  <w:style w:type="paragraph" w:styleId="890">
    <w:name w:val="TOC Heading"/>
    <w:uiPriority w:val="39"/>
    <w:unhideWhenUsed/>
    <w:pPr>
      <w:pBdr/>
      <w:spacing/>
      <w:ind/>
    </w:pPr>
  </w:style>
  <w:style w:type="paragraph" w:styleId="891">
    <w:name w:val="table of figures"/>
    <w:basedOn w:val="892"/>
    <w:next w:val="892"/>
    <w:uiPriority w:val="99"/>
    <w:unhideWhenUsed/>
    <w:pPr>
      <w:pBdr/>
      <w:spacing w:after="0" w:afterAutospacing="0"/>
      <w:ind/>
    </w:pPr>
  </w:style>
  <w:style w:type="paragraph" w:styleId="892" w:default="1">
    <w:name w:val="Normal"/>
    <w:next w:val="892"/>
    <w:link w:val="892"/>
    <w:qFormat/>
    <w:pPr>
      <w:pBdr/>
      <w:spacing/>
      <w:ind/>
    </w:pPr>
    <w:rPr>
      <w:sz w:val="24"/>
      <w:szCs w:val="24"/>
      <w:lang w:val="ru-RU" w:eastAsia="ru-RU" w:bidi="ar-SA"/>
    </w:rPr>
  </w:style>
  <w:style w:type="character" w:styleId="893">
    <w:name w:val="Основной шрифт абзаца"/>
    <w:next w:val="893"/>
    <w:link w:val="892"/>
    <w:semiHidden/>
    <w:pPr>
      <w:pBdr/>
      <w:spacing/>
      <w:ind/>
    </w:pPr>
  </w:style>
  <w:style w:type="table" w:styleId="894">
    <w:name w:val="Обычная таблица"/>
    <w:next w:val="894"/>
    <w:link w:val="89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2"/>
    <w:semiHidden/>
    <w:pPr>
      <w:pBdr/>
      <w:spacing/>
      <w:ind/>
    </w:pPr>
  </w:style>
  <w:style w:type="paragraph" w:styleId="896">
    <w:name w:val="Обычный (веб)"/>
    <w:basedOn w:val="892"/>
    <w:next w:val="896"/>
    <w:link w:val="902"/>
    <w:pPr>
      <w:pBdr/>
      <w:spacing w:after="100" w:afterAutospacing="1" w:before="100" w:beforeAutospacing="1"/>
      <w:ind/>
    </w:pPr>
  </w:style>
  <w:style w:type="character" w:styleId="897">
    <w:name w:val="Строгий"/>
    <w:next w:val="897"/>
    <w:link w:val="892"/>
    <w:qFormat/>
    <w:pPr>
      <w:pBdr/>
      <w:spacing/>
      <w:ind/>
    </w:pPr>
    <w:rPr>
      <w:b/>
      <w:bCs/>
    </w:rPr>
  </w:style>
  <w:style w:type="paragraph" w:styleId="898">
    <w:name w:val="Знак"/>
    <w:basedOn w:val="892"/>
    <w:next w:val="898"/>
    <w:link w:val="892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99">
    <w:name w:val="Основной текст"/>
    <w:basedOn w:val="892"/>
    <w:next w:val="899"/>
    <w:link w:val="892"/>
    <w:pPr>
      <w:pBdr/>
      <w:spacing/>
      <w:ind/>
    </w:pPr>
    <w:rPr>
      <w:b/>
      <w:szCs w:val="20"/>
    </w:rPr>
  </w:style>
  <w:style w:type="paragraph" w:styleId="900">
    <w:name w:val="Основной текст 2"/>
    <w:basedOn w:val="892"/>
    <w:next w:val="900"/>
    <w:link w:val="892"/>
    <w:pPr>
      <w:pBdr/>
      <w:spacing/>
      <w:ind/>
      <w:jc w:val="both"/>
    </w:pPr>
    <w:rPr>
      <w:szCs w:val="20"/>
    </w:rPr>
  </w:style>
  <w:style w:type="paragraph" w:styleId="901">
    <w:name w:val="Текст выноски"/>
    <w:basedOn w:val="892"/>
    <w:next w:val="901"/>
    <w:link w:val="892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2">
    <w:name w:val="Обычный (веб) Знак"/>
    <w:next w:val="902"/>
    <w:link w:val="896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creator>gorsovet</dc:creator>
  <cp:revision>21</cp:revision>
  <dcterms:created xsi:type="dcterms:W3CDTF">2025-12-08T14:20:00Z</dcterms:created>
  <dcterms:modified xsi:type="dcterms:W3CDTF">2026-07-17T07:32:28Z</dcterms:modified>
  <cp:version>983040</cp:version>
</cp:coreProperties>
</file>